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3960" w14:textId="77777777" w:rsidR="003C5989" w:rsidRPr="003C5989" w:rsidRDefault="003C5989" w:rsidP="003C5989">
      <w:pPr>
        <w:spacing w:after="0" w:line="240" w:lineRule="auto"/>
        <w:ind w:left="0" w:firstLine="0"/>
        <w:rPr>
          <w:b/>
          <w:color w:val="auto"/>
          <w:szCs w:val="24"/>
          <w:lang w:val="en-GB" w:bidi="ar-SA"/>
        </w:rPr>
      </w:pPr>
    </w:p>
    <w:p w14:paraId="76131BE5" w14:textId="77777777" w:rsidR="003C5989" w:rsidRPr="003C5989" w:rsidRDefault="003C5989" w:rsidP="003C5989">
      <w:pPr>
        <w:spacing w:after="160" w:line="259" w:lineRule="auto"/>
        <w:ind w:left="0" w:firstLine="0"/>
        <w:jc w:val="center"/>
        <w:rPr>
          <w:rFonts w:eastAsia="Calibri"/>
          <w:b/>
          <w:szCs w:val="24"/>
          <w:u w:val="single"/>
          <w:lang w:bidi="ar-SA"/>
        </w:rPr>
      </w:pPr>
      <w:r w:rsidRPr="003C5989">
        <w:rPr>
          <w:rFonts w:eastAsia="Calibri"/>
          <w:noProof/>
          <w:szCs w:val="24"/>
          <w:lang w:bidi="ar-SA"/>
        </w:rPr>
        <w:drawing>
          <wp:inline distT="0" distB="0" distL="0" distR="0" wp14:anchorId="56196BCD" wp14:editId="2849682C">
            <wp:extent cx="1193800" cy="1054100"/>
            <wp:effectExtent l="0" t="0" r="0" b="0"/>
            <wp:docPr id="13" name="Picture 1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227E" w14:textId="77777777" w:rsidR="003C5989" w:rsidRPr="003C5989" w:rsidRDefault="003C5989" w:rsidP="003C5989">
      <w:pPr>
        <w:spacing w:after="0" w:line="240" w:lineRule="auto"/>
        <w:ind w:left="0" w:firstLine="0"/>
        <w:jc w:val="center"/>
        <w:rPr>
          <w:rFonts w:eastAsia="Calibri"/>
          <w:b/>
          <w:szCs w:val="24"/>
          <w:lang w:bidi="ar-SA"/>
        </w:rPr>
      </w:pPr>
      <w:r w:rsidRPr="003C5989">
        <w:rPr>
          <w:rFonts w:eastAsia="Calibri"/>
          <w:b/>
          <w:szCs w:val="24"/>
          <w:lang w:bidi="ar-SA"/>
        </w:rPr>
        <w:t>Permanent Mission of Ghana to the United Nations</w:t>
      </w:r>
    </w:p>
    <w:p w14:paraId="769210D0" w14:textId="77777777" w:rsidR="003C5989" w:rsidRPr="003C5989" w:rsidRDefault="003C5989" w:rsidP="003C5989">
      <w:pPr>
        <w:spacing w:after="0" w:line="240" w:lineRule="auto"/>
        <w:ind w:left="0" w:firstLine="0"/>
        <w:jc w:val="center"/>
        <w:rPr>
          <w:rFonts w:eastAsia="Calibri"/>
          <w:b/>
          <w:szCs w:val="24"/>
          <w:lang w:bidi="ar-SA"/>
        </w:rPr>
      </w:pPr>
      <w:r w:rsidRPr="003C5989">
        <w:rPr>
          <w:rFonts w:eastAsia="Calibri"/>
          <w:b/>
          <w:szCs w:val="24"/>
          <w:lang w:bidi="ar-SA"/>
        </w:rPr>
        <w:t>19 East 47</w:t>
      </w:r>
      <w:r w:rsidRPr="003C5989">
        <w:rPr>
          <w:rFonts w:eastAsia="Calibri"/>
          <w:b/>
          <w:szCs w:val="24"/>
          <w:vertAlign w:val="superscript"/>
          <w:lang w:bidi="ar-SA"/>
        </w:rPr>
        <w:t>th</w:t>
      </w:r>
      <w:r w:rsidRPr="003C5989">
        <w:rPr>
          <w:rFonts w:eastAsia="Calibri"/>
          <w:b/>
          <w:szCs w:val="24"/>
          <w:lang w:bidi="ar-SA"/>
        </w:rPr>
        <w:t xml:space="preserve"> Street, New York, NY 10017</w:t>
      </w:r>
    </w:p>
    <w:p w14:paraId="5C9C01FC" w14:textId="77777777" w:rsidR="003C5989" w:rsidRPr="003C5989" w:rsidRDefault="00663E0E" w:rsidP="003C5989">
      <w:pPr>
        <w:spacing w:after="0" w:line="240" w:lineRule="auto"/>
        <w:ind w:left="0" w:firstLine="0"/>
        <w:jc w:val="center"/>
        <w:rPr>
          <w:rFonts w:eastAsia="Calibri"/>
          <w:b/>
          <w:szCs w:val="24"/>
          <w:u w:val="single"/>
          <w:lang w:bidi="ar-SA"/>
        </w:rPr>
      </w:pPr>
      <w:hyperlink r:id="rId8" w:history="1">
        <w:r w:rsidR="003C5989" w:rsidRPr="003C5989">
          <w:rPr>
            <w:rFonts w:eastAsia="Calibri"/>
            <w:b/>
            <w:color w:val="0563C1"/>
            <w:szCs w:val="24"/>
            <w:u w:val="single"/>
            <w:lang w:bidi="ar-SA"/>
          </w:rPr>
          <w:t>www.ghanamissionun.org</w:t>
        </w:r>
      </w:hyperlink>
      <w:r w:rsidR="003C5989" w:rsidRPr="003C5989">
        <w:rPr>
          <w:rFonts w:eastAsia="Calibri"/>
          <w:b/>
          <w:szCs w:val="24"/>
          <w:u w:val="single"/>
          <w:lang w:bidi="ar-SA"/>
        </w:rPr>
        <w:t xml:space="preserve"> </w:t>
      </w:r>
    </w:p>
    <w:p w14:paraId="6804F54A" w14:textId="77777777" w:rsidR="003C5989" w:rsidRPr="003C5989" w:rsidRDefault="003C5989" w:rsidP="003C5989">
      <w:pPr>
        <w:spacing w:after="0" w:line="240" w:lineRule="auto"/>
        <w:ind w:left="0" w:firstLine="0"/>
        <w:jc w:val="center"/>
        <w:rPr>
          <w:rFonts w:eastAsia="Calibri"/>
          <w:b/>
          <w:szCs w:val="24"/>
          <w:u w:val="single"/>
          <w:lang w:bidi="ar-SA"/>
        </w:rPr>
      </w:pPr>
    </w:p>
    <w:p w14:paraId="2143026F" w14:textId="77777777" w:rsidR="003C5989" w:rsidRPr="003C5989" w:rsidRDefault="003C5989" w:rsidP="003C5989">
      <w:pPr>
        <w:tabs>
          <w:tab w:val="left" w:pos="90"/>
        </w:tabs>
        <w:spacing w:after="0" w:line="240" w:lineRule="auto"/>
        <w:ind w:left="-1350" w:firstLine="0"/>
        <w:jc w:val="center"/>
        <w:rPr>
          <w:rFonts w:eastAsia="Calibri"/>
          <w:b/>
          <w:szCs w:val="24"/>
          <w:u w:val="single"/>
          <w:lang w:bidi="ar-SA"/>
        </w:rPr>
      </w:pPr>
      <w:r w:rsidRPr="003C5989">
        <w:rPr>
          <w:rFonts w:eastAsia="Calibri"/>
          <w:b/>
          <w:noProof/>
          <w:szCs w:val="24"/>
          <w:lang w:bidi="ar-SA"/>
        </w:rPr>
        <w:drawing>
          <wp:inline distT="0" distB="0" distL="0" distR="0" wp14:anchorId="232E2B84" wp14:editId="3D481E07">
            <wp:extent cx="7950200" cy="749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11B0B" w14:textId="77777777" w:rsidR="003C5989" w:rsidRPr="003C5989" w:rsidRDefault="003C5989" w:rsidP="003C5989">
      <w:pPr>
        <w:spacing w:after="160" w:line="259" w:lineRule="auto"/>
        <w:ind w:left="-1440" w:firstLine="0"/>
        <w:jc w:val="center"/>
        <w:rPr>
          <w:rFonts w:eastAsia="Calibri"/>
          <w:bCs/>
          <w:szCs w:val="24"/>
          <w:lang w:bidi="ar-SA"/>
        </w:rPr>
      </w:pPr>
    </w:p>
    <w:p w14:paraId="653729BE" w14:textId="77777777" w:rsidR="003C5989" w:rsidRPr="003C5989" w:rsidRDefault="003C5989" w:rsidP="003C5989">
      <w:pPr>
        <w:spacing w:after="160" w:line="259" w:lineRule="auto"/>
        <w:ind w:left="5760" w:right="-846" w:firstLine="0"/>
        <w:jc w:val="right"/>
        <w:rPr>
          <w:rFonts w:eastAsia="Calibri"/>
          <w:bCs/>
          <w:i/>
          <w:iCs/>
          <w:szCs w:val="24"/>
          <w:u w:val="single"/>
          <w:lang w:bidi="ar-SA"/>
        </w:rPr>
      </w:pPr>
      <w:r w:rsidRPr="003C5989">
        <w:rPr>
          <w:rFonts w:eastAsia="Calibri"/>
          <w:bCs/>
          <w:i/>
          <w:iCs/>
          <w:szCs w:val="24"/>
          <w:u w:val="single"/>
          <w:lang w:bidi="ar-SA"/>
        </w:rPr>
        <w:t>Please check against delivery</w:t>
      </w:r>
    </w:p>
    <w:p w14:paraId="68F8B104" w14:textId="77777777" w:rsidR="003C5989" w:rsidRPr="003C5989" w:rsidRDefault="003C5989" w:rsidP="003C5989">
      <w:pPr>
        <w:spacing w:after="160" w:line="259" w:lineRule="auto"/>
        <w:ind w:left="0" w:firstLine="0"/>
        <w:jc w:val="left"/>
        <w:rPr>
          <w:rFonts w:eastAsia="Calibri"/>
          <w:b/>
          <w:szCs w:val="24"/>
          <w:lang w:bidi="ar-SA"/>
        </w:rPr>
      </w:pPr>
    </w:p>
    <w:p w14:paraId="27ABE16A" w14:textId="77777777" w:rsidR="003C5989" w:rsidRPr="003C5989" w:rsidRDefault="003C5989" w:rsidP="003C5989">
      <w:pPr>
        <w:spacing w:after="160" w:line="259" w:lineRule="auto"/>
        <w:ind w:left="0" w:firstLine="0"/>
        <w:jc w:val="center"/>
        <w:rPr>
          <w:rFonts w:eastAsia="Calibri"/>
          <w:b/>
          <w:szCs w:val="24"/>
          <w:lang w:bidi="ar-SA"/>
        </w:rPr>
      </w:pPr>
      <w:r w:rsidRPr="003C5989">
        <w:rPr>
          <w:rFonts w:eastAsia="Calibri"/>
          <w:b/>
          <w:szCs w:val="24"/>
          <w:lang w:bidi="ar-SA"/>
        </w:rPr>
        <w:t xml:space="preserve">STATEMENT DELIVERED ON BEHALF OF THE </w:t>
      </w:r>
    </w:p>
    <w:p w14:paraId="07F355C2" w14:textId="77777777" w:rsidR="003C5989" w:rsidRPr="003C5989" w:rsidRDefault="003C5989" w:rsidP="003C5989">
      <w:pPr>
        <w:spacing w:after="160" w:line="259" w:lineRule="auto"/>
        <w:ind w:left="0" w:firstLine="0"/>
        <w:jc w:val="center"/>
        <w:rPr>
          <w:rFonts w:eastAsia="Calibri"/>
          <w:b/>
          <w:szCs w:val="24"/>
          <w:lang w:bidi="ar-SA"/>
        </w:rPr>
      </w:pPr>
      <w:r w:rsidRPr="003C5989">
        <w:rPr>
          <w:rFonts w:eastAsia="Calibri"/>
          <w:b/>
          <w:szCs w:val="24"/>
          <w:lang w:bidi="ar-SA"/>
        </w:rPr>
        <w:t xml:space="preserve">A3 (GABON, GHANA AND KENYA) </w:t>
      </w:r>
    </w:p>
    <w:p w14:paraId="1D2DBA70" w14:textId="77777777" w:rsidR="003C5989" w:rsidRPr="003C5989" w:rsidRDefault="003C5989" w:rsidP="003C5989">
      <w:pPr>
        <w:spacing w:after="160" w:line="259" w:lineRule="auto"/>
        <w:ind w:left="0" w:firstLine="0"/>
        <w:jc w:val="center"/>
        <w:rPr>
          <w:rFonts w:eastAsia="Calibri"/>
          <w:b/>
          <w:szCs w:val="24"/>
          <w:lang w:bidi="ar-SA"/>
        </w:rPr>
      </w:pPr>
      <w:r w:rsidRPr="003C5989">
        <w:rPr>
          <w:rFonts w:eastAsia="Calibri"/>
          <w:b/>
          <w:szCs w:val="24"/>
          <w:lang w:bidi="ar-SA"/>
        </w:rPr>
        <w:t xml:space="preserve">BY </w:t>
      </w:r>
    </w:p>
    <w:p w14:paraId="7E560EAF" w14:textId="77777777" w:rsidR="003C5989" w:rsidRPr="003C5989" w:rsidRDefault="003C5989" w:rsidP="003C5989">
      <w:pPr>
        <w:spacing w:after="0" w:line="240" w:lineRule="auto"/>
        <w:ind w:left="0" w:firstLine="0"/>
        <w:jc w:val="center"/>
        <w:rPr>
          <w:rFonts w:eastAsia="Abadi"/>
          <w:b/>
          <w:color w:val="auto"/>
          <w:sz w:val="36"/>
          <w:szCs w:val="36"/>
          <w:lang w:bidi="ar-SA"/>
        </w:rPr>
      </w:pPr>
      <w:r w:rsidRPr="003C5989">
        <w:rPr>
          <w:rFonts w:eastAsia="Abadi"/>
          <w:b/>
          <w:color w:val="auto"/>
          <w:sz w:val="36"/>
          <w:szCs w:val="36"/>
          <w:lang w:bidi="ar-SA"/>
        </w:rPr>
        <w:t>H. E. HAROLD ADLAI AGYEMAN</w:t>
      </w:r>
    </w:p>
    <w:p w14:paraId="467E5206" w14:textId="77777777" w:rsidR="003C5989" w:rsidRPr="003C5989" w:rsidRDefault="003C5989" w:rsidP="003C5989">
      <w:pPr>
        <w:spacing w:after="0" w:line="240" w:lineRule="auto"/>
        <w:ind w:left="0" w:firstLine="0"/>
        <w:jc w:val="center"/>
        <w:rPr>
          <w:rFonts w:eastAsia="Abadi"/>
          <w:b/>
          <w:color w:val="auto"/>
          <w:szCs w:val="24"/>
          <w:lang w:bidi="ar-SA"/>
        </w:rPr>
      </w:pPr>
      <w:r w:rsidRPr="003C5989">
        <w:rPr>
          <w:rFonts w:eastAsia="Abadi"/>
          <w:b/>
          <w:color w:val="auto"/>
          <w:szCs w:val="24"/>
          <w:lang w:bidi="ar-SA"/>
        </w:rPr>
        <w:t>AMBASSADOR AND PERMANENT REPRESENTATIVE</w:t>
      </w:r>
    </w:p>
    <w:p w14:paraId="44A363B6" w14:textId="77777777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/>
          <w:color w:val="auto"/>
          <w:szCs w:val="24"/>
          <w:lang w:bidi="ar-SA"/>
        </w:rPr>
      </w:pPr>
    </w:p>
    <w:p w14:paraId="4B351276" w14:textId="77777777" w:rsidR="003C5989" w:rsidRPr="003C5989" w:rsidRDefault="00663E0E" w:rsidP="003C5989">
      <w:pPr>
        <w:spacing w:after="0" w:line="240" w:lineRule="auto"/>
        <w:ind w:left="0" w:firstLine="0"/>
        <w:jc w:val="center"/>
        <w:rPr>
          <w:rFonts w:eastAsia="Abadi"/>
          <w:b/>
          <w:color w:val="auto"/>
          <w:szCs w:val="24"/>
          <w:lang w:bidi="ar-SA"/>
        </w:rPr>
      </w:pPr>
      <w:r>
        <w:rPr>
          <w:rFonts w:eastAsia="Abadi"/>
          <w:b/>
          <w:noProof/>
          <w:color w:val="auto"/>
          <w:szCs w:val="24"/>
          <w:lang w:bidi="ar-SA"/>
        </w:rPr>
        <w:pict w14:anchorId="132A4A1E">
          <v:rect id="_x0000_i1025" style="width:468pt;height:.05pt" o:hralign="center" o:hrstd="t" o:hr="t" fillcolor="#a0a0a0" stroked="f"/>
        </w:pict>
      </w:r>
    </w:p>
    <w:p w14:paraId="4E120E6F" w14:textId="77777777" w:rsidR="003C5989" w:rsidRPr="003C5989" w:rsidRDefault="003C5989" w:rsidP="003C5989">
      <w:pPr>
        <w:spacing w:after="0" w:line="259" w:lineRule="auto"/>
        <w:ind w:left="0" w:firstLine="0"/>
        <w:jc w:val="center"/>
        <w:rPr>
          <w:rFonts w:eastAsia="MS Mincho"/>
          <w:b/>
          <w:bCs/>
          <w:szCs w:val="24"/>
          <w:lang w:bidi="ar-SA"/>
        </w:rPr>
      </w:pPr>
    </w:p>
    <w:p w14:paraId="25C0A2CD" w14:textId="77777777" w:rsidR="003C5989" w:rsidRPr="003C5989" w:rsidRDefault="003C5989" w:rsidP="003C5989">
      <w:pPr>
        <w:spacing w:after="0" w:line="259" w:lineRule="auto"/>
        <w:ind w:left="0" w:firstLine="0"/>
        <w:jc w:val="center"/>
        <w:rPr>
          <w:rFonts w:eastAsia="MS Mincho"/>
          <w:b/>
          <w:bCs/>
          <w:szCs w:val="24"/>
          <w:lang w:bidi="ar-SA"/>
        </w:rPr>
      </w:pPr>
      <w:r w:rsidRPr="003C5989">
        <w:rPr>
          <w:rFonts w:eastAsia="MS Mincho"/>
          <w:b/>
          <w:bCs/>
          <w:szCs w:val="24"/>
          <w:lang w:bidi="ar-SA"/>
        </w:rPr>
        <w:t xml:space="preserve">UNITED NATIONS SECURITY COUNCIL CONSULTATIONS ON </w:t>
      </w:r>
    </w:p>
    <w:p w14:paraId="6A324A38" w14:textId="77777777" w:rsidR="003C5989" w:rsidRPr="003C5989" w:rsidRDefault="003C5989" w:rsidP="003C5989">
      <w:pPr>
        <w:spacing w:after="0" w:line="259" w:lineRule="auto"/>
        <w:ind w:left="0" w:firstLine="0"/>
        <w:jc w:val="center"/>
        <w:rPr>
          <w:rFonts w:eastAsia="MS Mincho"/>
          <w:b/>
          <w:bCs/>
          <w:szCs w:val="24"/>
          <w:lang w:bidi="ar-SA"/>
        </w:rPr>
      </w:pPr>
      <w:r w:rsidRPr="003C5989">
        <w:rPr>
          <w:rFonts w:eastAsia="MS Mincho"/>
          <w:b/>
          <w:bCs/>
          <w:szCs w:val="24"/>
          <w:lang w:bidi="ar-SA"/>
        </w:rPr>
        <w:t>THE MIDDLE EAST (SYRIAN CHEMICAL WEAPONS PROGRAMME)</w:t>
      </w:r>
    </w:p>
    <w:p w14:paraId="26562594" w14:textId="77777777" w:rsidR="003C5989" w:rsidRPr="003C5989" w:rsidRDefault="003C5989" w:rsidP="003C5989">
      <w:pPr>
        <w:spacing w:after="0" w:line="259" w:lineRule="auto"/>
        <w:ind w:left="0" w:firstLine="0"/>
        <w:jc w:val="center"/>
        <w:rPr>
          <w:rFonts w:eastAsia="MS Mincho"/>
          <w:b/>
          <w:bCs/>
          <w:szCs w:val="24"/>
          <w:lang w:bidi="ar-SA"/>
        </w:rPr>
      </w:pPr>
    </w:p>
    <w:p w14:paraId="51EC736F" w14:textId="77777777" w:rsidR="003C5989" w:rsidRPr="003C5989" w:rsidRDefault="00663E0E" w:rsidP="003C5989">
      <w:pPr>
        <w:spacing w:after="0" w:line="240" w:lineRule="auto"/>
        <w:ind w:left="0" w:firstLine="0"/>
        <w:jc w:val="left"/>
        <w:rPr>
          <w:rFonts w:eastAsia="Abadi"/>
          <w:b/>
          <w:color w:val="auto"/>
          <w:szCs w:val="24"/>
          <w:lang w:bidi="ar-SA"/>
        </w:rPr>
      </w:pPr>
      <w:r>
        <w:rPr>
          <w:rFonts w:eastAsia="Abadi"/>
          <w:b/>
          <w:noProof/>
          <w:color w:val="auto"/>
          <w:szCs w:val="24"/>
          <w:lang w:bidi="ar-SA"/>
        </w:rPr>
        <w:pict w14:anchorId="586A266E">
          <v:rect id="_x0000_i1026" style="width:468pt;height:.05pt" o:hralign="center" o:hrstd="t" o:hr="t" fillcolor="#a0a0a0" stroked="f"/>
        </w:pict>
      </w:r>
    </w:p>
    <w:p w14:paraId="77154CE7" w14:textId="77777777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Cs w:val="24"/>
          <w:lang w:bidi="ar-SA"/>
        </w:rPr>
      </w:pPr>
    </w:p>
    <w:p w14:paraId="0734231F" w14:textId="2F1AA0B7" w:rsid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Cs w:val="24"/>
          <w:lang w:bidi="ar-SA"/>
        </w:rPr>
      </w:pPr>
    </w:p>
    <w:p w14:paraId="2B946A84" w14:textId="75BE98D4" w:rsidR="006B682B" w:rsidRDefault="006B682B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Cs w:val="24"/>
          <w:lang w:bidi="ar-SA"/>
        </w:rPr>
      </w:pPr>
    </w:p>
    <w:p w14:paraId="2BF9FE1E" w14:textId="30969D8A" w:rsidR="006B682B" w:rsidRDefault="006B682B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Cs w:val="24"/>
          <w:lang w:bidi="ar-SA"/>
        </w:rPr>
      </w:pPr>
    </w:p>
    <w:p w14:paraId="763410A2" w14:textId="3C7D25CE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Cs w:val="24"/>
          <w:lang w:bidi="ar-SA"/>
        </w:rPr>
      </w:pPr>
    </w:p>
    <w:p w14:paraId="2EA3681C" w14:textId="77777777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Cs w:val="24"/>
          <w:lang w:bidi="ar-SA"/>
        </w:rPr>
      </w:pPr>
    </w:p>
    <w:p w14:paraId="4DDDB477" w14:textId="6351EF56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 w:val="21"/>
          <w:szCs w:val="21"/>
          <w:lang w:bidi="ar-SA"/>
        </w:rPr>
      </w:pPr>
      <w:r>
        <w:rPr>
          <w:rFonts w:eastAsia="Abadi"/>
          <w:bCs/>
          <w:color w:val="auto"/>
          <w:sz w:val="21"/>
          <w:szCs w:val="21"/>
          <w:lang w:bidi="ar-SA"/>
        </w:rPr>
        <w:t>10</w:t>
      </w:r>
      <w:r w:rsidRPr="003C5989">
        <w:rPr>
          <w:rFonts w:eastAsia="Abadi"/>
          <w:bCs/>
          <w:color w:val="auto"/>
          <w:sz w:val="21"/>
          <w:szCs w:val="21"/>
          <w:vertAlign w:val="superscript"/>
          <w:lang w:bidi="ar-SA"/>
        </w:rPr>
        <w:t>th</w:t>
      </w:r>
      <w:r w:rsidRPr="003C5989">
        <w:rPr>
          <w:rFonts w:eastAsia="Abadi"/>
          <w:bCs/>
          <w:color w:val="auto"/>
          <w:sz w:val="21"/>
          <w:szCs w:val="21"/>
          <w:lang w:bidi="ar-SA"/>
        </w:rPr>
        <w:t xml:space="preserve"> </w:t>
      </w:r>
      <w:r>
        <w:rPr>
          <w:rFonts w:eastAsia="Abadi"/>
          <w:bCs/>
          <w:color w:val="auto"/>
          <w:sz w:val="21"/>
          <w:szCs w:val="21"/>
          <w:lang w:bidi="ar-SA"/>
        </w:rPr>
        <w:t>March</w:t>
      </w:r>
      <w:r w:rsidRPr="003C5989">
        <w:rPr>
          <w:rFonts w:eastAsia="Abadi"/>
          <w:bCs/>
          <w:color w:val="auto"/>
          <w:sz w:val="21"/>
          <w:szCs w:val="21"/>
          <w:lang w:bidi="ar-SA"/>
        </w:rPr>
        <w:t xml:space="preserve"> 2022</w:t>
      </w:r>
    </w:p>
    <w:p w14:paraId="4D611F35" w14:textId="77777777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 w:val="21"/>
          <w:szCs w:val="21"/>
          <w:lang w:bidi="ar-SA"/>
        </w:rPr>
      </w:pPr>
      <w:r w:rsidRPr="003C5989">
        <w:rPr>
          <w:rFonts w:eastAsia="Abadi"/>
          <w:bCs/>
          <w:color w:val="auto"/>
          <w:sz w:val="21"/>
          <w:szCs w:val="21"/>
          <w:lang w:bidi="ar-SA"/>
        </w:rPr>
        <w:t>Security Council Chamber,</w:t>
      </w:r>
    </w:p>
    <w:p w14:paraId="21F71643" w14:textId="77777777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 w:val="21"/>
          <w:szCs w:val="21"/>
          <w:lang w:bidi="ar-SA"/>
        </w:rPr>
      </w:pPr>
      <w:r w:rsidRPr="003C5989">
        <w:rPr>
          <w:rFonts w:eastAsia="Abadi"/>
          <w:bCs/>
          <w:color w:val="auto"/>
          <w:sz w:val="21"/>
          <w:szCs w:val="21"/>
          <w:lang w:bidi="ar-SA"/>
        </w:rPr>
        <w:t xml:space="preserve">United Nations, </w:t>
      </w:r>
    </w:p>
    <w:p w14:paraId="1F1DD24C" w14:textId="77777777" w:rsidR="003C5989" w:rsidRPr="003C5989" w:rsidRDefault="003C5989" w:rsidP="003C5989">
      <w:pPr>
        <w:spacing w:after="0" w:line="240" w:lineRule="auto"/>
        <w:ind w:left="0" w:firstLine="0"/>
        <w:jc w:val="left"/>
        <w:rPr>
          <w:rFonts w:eastAsia="Abadi"/>
          <w:bCs/>
          <w:color w:val="auto"/>
          <w:sz w:val="21"/>
          <w:szCs w:val="21"/>
          <w:u w:val="single"/>
          <w:lang w:bidi="ar-SA"/>
        </w:rPr>
      </w:pPr>
      <w:r w:rsidRPr="003C5989">
        <w:rPr>
          <w:rFonts w:eastAsia="Abadi"/>
          <w:bCs/>
          <w:color w:val="auto"/>
          <w:sz w:val="21"/>
          <w:szCs w:val="21"/>
          <w:u w:val="single"/>
          <w:lang w:bidi="ar-SA"/>
        </w:rPr>
        <w:t xml:space="preserve">New York </w:t>
      </w:r>
    </w:p>
    <w:p w14:paraId="617C0E4B" w14:textId="5343F392" w:rsidR="00132832" w:rsidRPr="00FB590C" w:rsidRDefault="00545976">
      <w:pPr>
        <w:spacing w:after="410" w:line="265" w:lineRule="auto"/>
        <w:ind w:left="-5" w:hanging="10"/>
        <w:jc w:val="left"/>
        <w:rPr>
          <w:color w:val="auto"/>
          <w:sz w:val="28"/>
          <w:szCs w:val="28"/>
        </w:rPr>
      </w:pPr>
      <w:r w:rsidRPr="00FB590C">
        <w:rPr>
          <w:b/>
          <w:i/>
          <w:color w:val="auto"/>
          <w:sz w:val="28"/>
          <w:szCs w:val="28"/>
        </w:rPr>
        <w:lastRenderedPageBreak/>
        <w:t xml:space="preserve">Thank Madam President for giving me the floor. </w:t>
      </w:r>
    </w:p>
    <w:p w14:paraId="6F3D2BBC" w14:textId="77777777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>I have the honour to deliver this statement on behalf of the A3 members comprising Gabon, Kenya and Ghana.</w:t>
      </w:r>
      <w:r w:rsidRPr="00FB590C">
        <w:rPr>
          <w:b/>
          <w:i/>
          <w:color w:val="auto"/>
          <w:sz w:val="28"/>
          <w:szCs w:val="28"/>
        </w:rPr>
        <w:t xml:space="preserve"> </w:t>
      </w:r>
    </w:p>
    <w:p w14:paraId="18C3B8FF" w14:textId="35206740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>To begin with, let me express our appreciation to M</w:t>
      </w:r>
      <w:r w:rsidR="00033FA5" w:rsidRPr="00FB590C">
        <w:rPr>
          <w:color w:val="auto"/>
          <w:sz w:val="28"/>
          <w:szCs w:val="28"/>
        </w:rPr>
        <w:t>s</w:t>
      </w:r>
      <w:r w:rsidRPr="00FB590C">
        <w:rPr>
          <w:color w:val="auto"/>
          <w:sz w:val="28"/>
          <w:szCs w:val="28"/>
        </w:rPr>
        <w:t>.</w:t>
      </w:r>
      <w:r w:rsidR="00033FA5" w:rsidRPr="00FB590C">
        <w:rPr>
          <w:color w:val="auto"/>
          <w:sz w:val="28"/>
          <w:szCs w:val="28"/>
        </w:rPr>
        <w:t xml:space="preserve"> Izumi</w:t>
      </w:r>
      <w:r w:rsidRPr="00FB590C">
        <w:rPr>
          <w:color w:val="auto"/>
          <w:sz w:val="28"/>
          <w:szCs w:val="28"/>
        </w:rPr>
        <w:t xml:space="preserve"> </w:t>
      </w:r>
      <w:proofErr w:type="spellStart"/>
      <w:r w:rsidR="00033FA5" w:rsidRPr="00FB590C">
        <w:rPr>
          <w:color w:val="auto"/>
          <w:sz w:val="28"/>
          <w:szCs w:val="28"/>
        </w:rPr>
        <w:t>Nakamitsu</w:t>
      </w:r>
      <w:proofErr w:type="spellEnd"/>
      <w:r w:rsidR="00033FA5" w:rsidRPr="00FB590C">
        <w:rPr>
          <w:color w:val="auto"/>
          <w:sz w:val="28"/>
          <w:szCs w:val="28"/>
        </w:rPr>
        <w:t xml:space="preserve">, the High Representative for Disarmament Affairs, </w:t>
      </w:r>
      <w:r w:rsidRPr="00FB590C">
        <w:rPr>
          <w:color w:val="auto"/>
          <w:sz w:val="28"/>
          <w:szCs w:val="28"/>
        </w:rPr>
        <w:t xml:space="preserve">for the comprehensive briefing on activities undertaken in the last month, towards the implementation of the elimination of the Syrian Chemical weapons programme, pursuant to Security Council </w:t>
      </w:r>
      <w:r w:rsidRPr="00FB590C">
        <w:rPr>
          <w:b/>
          <w:i/>
          <w:color w:val="auto"/>
          <w:sz w:val="28"/>
          <w:szCs w:val="28"/>
        </w:rPr>
        <w:t>resolution 2118 (2013</w:t>
      </w:r>
      <w:r w:rsidRPr="00FB590C">
        <w:rPr>
          <w:color w:val="auto"/>
          <w:sz w:val="28"/>
          <w:szCs w:val="28"/>
        </w:rPr>
        <w:t>) and other relevant decisions of the OPCW Executive Council</w:t>
      </w:r>
      <w:r w:rsidR="00DE6322">
        <w:rPr>
          <w:color w:val="auto"/>
          <w:sz w:val="28"/>
          <w:szCs w:val="28"/>
        </w:rPr>
        <w:t>.</w:t>
      </w:r>
      <w:r w:rsidRPr="00FB590C">
        <w:rPr>
          <w:color w:val="auto"/>
          <w:sz w:val="28"/>
          <w:szCs w:val="28"/>
        </w:rPr>
        <w:t xml:space="preserve"> </w:t>
      </w:r>
      <w:r w:rsidR="00DE6322">
        <w:rPr>
          <w:color w:val="auto"/>
          <w:sz w:val="28"/>
          <w:szCs w:val="28"/>
        </w:rPr>
        <w:t>The A3</w:t>
      </w:r>
      <w:r w:rsidRPr="00FB590C">
        <w:rPr>
          <w:color w:val="auto"/>
          <w:sz w:val="28"/>
          <w:szCs w:val="28"/>
        </w:rPr>
        <w:t xml:space="preserve"> welcome</w:t>
      </w:r>
      <w:r w:rsidR="0006478A">
        <w:rPr>
          <w:color w:val="auto"/>
          <w:sz w:val="28"/>
          <w:szCs w:val="28"/>
        </w:rPr>
        <w:t>s</w:t>
      </w:r>
      <w:r w:rsidRPr="00FB590C">
        <w:rPr>
          <w:color w:val="auto"/>
          <w:sz w:val="28"/>
          <w:szCs w:val="28"/>
        </w:rPr>
        <w:t xml:space="preserve"> </w:t>
      </w:r>
      <w:r w:rsidR="00033FA5" w:rsidRPr="00FB590C">
        <w:rPr>
          <w:color w:val="auto"/>
          <w:sz w:val="28"/>
          <w:szCs w:val="28"/>
        </w:rPr>
        <w:t xml:space="preserve">the </w:t>
      </w:r>
      <w:r w:rsidRPr="00FB590C">
        <w:rPr>
          <w:color w:val="auto"/>
          <w:sz w:val="28"/>
          <w:szCs w:val="28"/>
        </w:rPr>
        <w:t>report of the OPCW covering the period of January 24 to February 23, 2022.</w:t>
      </w:r>
      <w:r w:rsidRPr="00FB590C">
        <w:rPr>
          <w:b/>
          <w:i/>
          <w:color w:val="auto"/>
          <w:sz w:val="28"/>
          <w:szCs w:val="28"/>
        </w:rPr>
        <w:t xml:space="preserve"> </w:t>
      </w:r>
    </w:p>
    <w:p w14:paraId="435CA961" w14:textId="182D9B42" w:rsidR="00132832" w:rsidRPr="00DE6322" w:rsidRDefault="00545976" w:rsidP="00DE6322">
      <w:pPr>
        <w:numPr>
          <w:ilvl w:val="0"/>
          <w:numId w:val="1"/>
        </w:numPr>
        <w:spacing w:after="250" w:line="360" w:lineRule="auto"/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We also welcome the distinguished representatives of the Syrian Arab Republic, The </w:t>
      </w:r>
      <w:r w:rsidRPr="00DE6322">
        <w:rPr>
          <w:color w:val="auto"/>
          <w:sz w:val="28"/>
          <w:szCs w:val="28"/>
        </w:rPr>
        <w:t>Islamic Republic of Iran and Turkey to this meeting.</w:t>
      </w:r>
      <w:r w:rsidRPr="00DE6322">
        <w:rPr>
          <w:b/>
          <w:i/>
          <w:color w:val="auto"/>
          <w:sz w:val="28"/>
          <w:szCs w:val="28"/>
        </w:rPr>
        <w:t xml:space="preserve"> </w:t>
      </w:r>
    </w:p>
    <w:p w14:paraId="54DAD304" w14:textId="77777777" w:rsidR="00132832" w:rsidRPr="00FB590C" w:rsidRDefault="00545976">
      <w:pPr>
        <w:spacing w:after="410" w:line="265" w:lineRule="auto"/>
        <w:ind w:left="371" w:hanging="10"/>
        <w:jc w:val="left"/>
        <w:rPr>
          <w:color w:val="auto"/>
          <w:sz w:val="28"/>
          <w:szCs w:val="28"/>
        </w:rPr>
      </w:pPr>
      <w:r w:rsidRPr="00FB590C">
        <w:rPr>
          <w:b/>
          <w:i/>
          <w:color w:val="auto"/>
          <w:sz w:val="28"/>
          <w:szCs w:val="28"/>
        </w:rPr>
        <w:t xml:space="preserve">Madam President,  </w:t>
      </w:r>
    </w:p>
    <w:p w14:paraId="69DE260E" w14:textId="2DA5F628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In adopting </w:t>
      </w:r>
      <w:r w:rsidRPr="00FB590C">
        <w:rPr>
          <w:b/>
          <w:i/>
          <w:color w:val="auto"/>
          <w:sz w:val="28"/>
          <w:szCs w:val="28"/>
        </w:rPr>
        <w:t>resolution 2118,</w:t>
      </w:r>
      <w:r w:rsidRPr="00FB590C">
        <w:rPr>
          <w:color w:val="auto"/>
          <w:sz w:val="28"/>
          <w:szCs w:val="28"/>
        </w:rPr>
        <w:t xml:space="preserve"> this Council signaled its unanimous and strong objection to the use of chemical weapons anywhere, by anyone and under </w:t>
      </w:r>
      <w:r w:rsidR="00DE6322">
        <w:rPr>
          <w:color w:val="auto"/>
          <w:sz w:val="28"/>
          <w:szCs w:val="28"/>
        </w:rPr>
        <w:t xml:space="preserve">any </w:t>
      </w:r>
      <w:r w:rsidRPr="00FB590C">
        <w:rPr>
          <w:color w:val="auto"/>
          <w:sz w:val="28"/>
          <w:szCs w:val="28"/>
        </w:rPr>
        <w:t>circumstance and, recognizing the threat posed to the maintenance of international peace and security, endorsed the expeditious and verifiable destruction of Syria’s chemical weapons.</w:t>
      </w:r>
      <w:r w:rsidRPr="00FB590C">
        <w:rPr>
          <w:b/>
          <w:i/>
          <w:color w:val="auto"/>
          <w:sz w:val="28"/>
          <w:szCs w:val="28"/>
        </w:rPr>
        <w:t xml:space="preserve"> </w:t>
      </w:r>
    </w:p>
    <w:p w14:paraId="0A66CC9E" w14:textId="3B5EA3EF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lastRenderedPageBreak/>
        <w:t>It is in this context that we acknowledge the supervisory role of the OPCW for the implementation of the elimination of Syria’s chemical weapons programme</w:t>
      </w:r>
      <w:r w:rsidR="006C1209" w:rsidRPr="00FB590C">
        <w:rPr>
          <w:color w:val="auto"/>
          <w:sz w:val="28"/>
          <w:szCs w:val="28"/>
        </w:rPr>
        <w:t>.</w:t>
      </w:r>
      <w:r w:rsidRPr="00FB590C">
        <w:rPr>
          <w:color w:val="auto"/>
          <w:sz w:val="28"/>
          <w:szCs w:val="28"/>
        </w:rPr>
        <w:t xml:space="preserve"> </w:t>
      </w:r>
    </w:p>
    <w:p w14:paraId="72C007DC" w14:textId="2BE814CD" w:rsidR="00132832" w:rsidRPr="00FB590C" w:rsidRDefault="00BE4CB5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>W</w:t>
      </w:r>
      <w:r w:rsidR="00545976" w:rsidRPr="00FB590C">
        <w:rPr>
          <w:color w:val="auto"/>
          <w:sz w:val="28"/>
          <w:szCs w:val="28"/>
        </w:rPr>
        <w:t xml:space="preserve">e note with concern, </w:t>
      </w:r>
      <w:r w:rsidRPr="00FB590C">
        <w:rPr>
          <w:color w:val="auto"/>
          <w:sz w:val="28"/>
          <w:szCs w:val="28"/>
        </w:rPr>
        <w:t xml:space="preserve">however, </w:t>
      </w:r>
      <w:r w:rsidR="00545976" w:rsidRPr="00FB590C">
        <w:rPr>
          <w:color w:val="auto"/>
          <w:sz w:val="28"/>
          <w:szCs w:val="28"/>
        </w:rPr>
        <w:t>th</w:t>
      </w:r>
      <w:r w:rsidR="00104A18" w:rsidRPr="00FB590C">
        <w:rPr>
          <w:color w:val="auto"/>
          <w:sz w:val="28"/>
          <w:szCs w:val="28"/>
        </w:rPr>
        <w:t>e</w:t>
      </w:r>
      <w:r w:rsidR="00545976" w:rsidRPr="00FB590C">
        <w:rPr>
          <w:color w:val="auto"/>
          <w:sz w:val="28"/>
          <w:szCs w:val="28"/>
        </w:rPr>
        <w:t xml:space="preserve"> persisting divergenc</w:t>
      </w:r>
      <w:r w:rsidR="00104A18" w:rsidRPr="00FB590C">
        <w:rPr>
          <w:color w:val="auto"/>
          <w:sz w:val="28"/>
          <w:szCs w:val="28"/>
        </w:rPr>
        <w:t>e</w:t>
      </w:r>
      <w:r w:rsidR="00545976" w:rsidRPr="00FB590C">
        <w:rPr>
          <w:color w:val="auto"/>
          <w:sz w:val="28"/>
          <w:szCs w:val="28"/>
        </w:rPr>
        <w:t xml:space="preserve"> between the positions of the OPCW and the Syrian Authorities regarding unaddressed gaps, inconsistencies and outstanding issues in Syria’s initial and subsequent submissions in </w:t>
      </w:r>
      <w:r w:rsidR="006C1209" w:rsidRPr="00FB590C">
        <w:rPr>
          <w:color w:val="auto"/>
          <w:sz w:val="28"/>
          <w:szCs w:val="28"/>
        </w:rPr>
        <w:t xml:space="preserve">accordance with the Chemical Weapons Convention. </w:t>
      </w:r>
    </w:p>
    <w:p w14:paraId="4BFA68C0" w14:textId="717A3432" w:rsidR="00132832" w:rsidRPr="00FB590C" w:rsidRDefault="00545976">
      <w:pPr>
        <w:numPr>
          <w:ilvl w:val="0"/>
          <w:numId w:val="1"/>
        </w:numPr>
        <w:spacing w:after="167" w:line="476" w:lineRule="auto"/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We believe that meaningful progress can be made towards the full implementation of the elimination </w:t>
      </w:r>
      <w:r w:rsidR="0006478A">
        <w:rPr>
          <w:color w:val="auto"/>
          <w:sz w:val="28"/>
          <w:szCs w:val="28"/>
        </w:rPr>
        <w:t>p</w:t>
      </w:r>
      <w:r w:rsidRPr="00FB590C">
        <w:rPr>
          <w:color w:val="auto"/>
          <w:sz w:val="28"/>
          <w:szCs w:val="28"/>
        </w:rPr>
        <w:t>rogramme through enhanced relations and good-faith cooperation between the OPCW together with its implementing bodies and the Syrian Authority</w:t>
      </w:r>
      <w:r w:rsidR="00DE6322">
        <w:rPr>
          <w:color w:val="auto"/>
          <w:sz w:val="28"/>
          <w:szCs w:val="28"/>
        </w:rPr>
        <w:t>.</w:t>
      </w:r>
      <w:r w:rsidRPr="00FB590C">
        <w:rPr>
          <w:color w:val="auto"/>
          <w:sz w:val="28"/>
          <w:szCs w:val="28"/>
        </w:rPr>
        <w:t xml:space="preserve"> </w:t>
      </w:r>
      <w:r w:rsidR="00DE6322">
        <w:rPr>
          <w:color w:val="auto"/>
          <w:sz w:val="28"/>
          <w:szCs w:val="28"/>
        </w:rPr>
        <w:t xml:space="preserve">We therefore urge the </w:t>
      </w:r>
      <w:r w:rsidRPr="00FB590C">
        <w:rPr>
          <w:color w:val="auto"/>
          <w:sz w:val="28"/>
          <w:szCs w:val="28"/>
        </w:rPr>
        <w:t xml:space="preserve">Council to </w:t>
      </w:r>
      <w:r w:rsidR="00DE6322">
        <w:rPr>
          <w:color w:val="auto"/>
          <w:sz w:val="28"/>
          <w:szCs w:val="28"/>
        </w:rPr>
        <w:t xml:space="preserve">concertedly </w:t>
      </w:r>
      <w:r w:rsidRPr="00FB590C">
        <w:rPr>
          <w:color w:val="auto"/>
          <w:sz w:val="28"/>
          <w:szCs w:val="28"/>
        </w:rPr>
        <w:t>support efforts in this direction.</w:t>
      </w:r>
      <w:r w:rsidRPr="00FB590C">
        <w:rPr>
          <w:b/>
          <w:i/>
          <w:color w:val="auto"/>
          <w:sz w:val="28"/>
          <w:szCs w:val="28"/>
        </w:rPr>
        <w:t xml:space="preserve"> </w:t>
      </w:r>
    </w:p>
    <w:p w14:paraId="609161E5" w14:textId="619F74F7" w:rsidR="00132832" w:rsidRPr="00FB590C" w:rsidRDefault="0006478A">
      <w:pPr>
        <w:numPr>
          <w:ilvl w:val="0"/>
          <w:numId w:val="1"/>
        </w:numPr>
        <w:spacing w:after="18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Pr="00FB590C">
        <w:rPr>
          <w:color w:val="auto"/>
          <w:sz w:val="28"/>
          <w:szCs w:val="28"/>
        </w:rPr>
        <w:t>n our view</w:t>
      </w:r>
      <w:r>
        <w:rPr>
          <w:color w:val="auto"/>
          <w:sz w:val="28"/>
          <w:szCs w:val="28"/>
        </w:rPr>
        <w:t>, t</w:t>
      </w:r>
      <w:r w:rsidR="00545976" w:rsidRPr="00FB590C">
        <w:rPr>
          <w:color w:val="auto"/>
          <w:sz w:val="28"/>
          <w:szCs w:val="28"/>
        </w:rPr>
        <w:t xml:space="preserve">he proposed in-person meeting between Foreign Minister Faisal </w:t>
      </w:r>
      <w:proofErr w:type="spellStart"/>
      <w:r w:rsidR="00545976" w:rsidRPr="00FB590C">
        <w:rPr>
          <w:color w:val="auto"/>
          <w:sz w:val="28"/>
          <w:szCs w:val="28"/>
        </w:rPr>
        <w:t>Mekdad</w:t>
      </w:r>
      <w:proofErr w:type="spellEnd"/>
      <w:r w:rsidR="00545976" w:rsidRPr="00FB590C">
        <w:rPr>
          <w:color w:val="auto"/>
          <w:sz w:val="28"/>
          <w:szCs w:val="28"/>
        </w:rPr>
        <w:t xml:space="preserve"> and the Director-General of the OPCW</w:t>
      </w:r>
      <w:r w:rsidR="00E127D8">
        <w:rPr>
          <w:color w:val="auto"/>
          <w:sz w:val="28"/>
          <w:szCs w:val="28"/>
        </w:rPr>
        <w:t xml:space="preserve"> </w:t>
      </w:r>
      <w:r w:rsidR="00545976" w:rsidRPr="00FB590C">
        <w:rPr>
          <w:color w:val="auto"/>
          <w:sz w:val="28"/>
          <w:szCs w:val="28"/>
        </w:rPr>
        <w:t>could be a useful opportunity for confidence-building and a recommitment by Syria to its obligations</w:t>
      </w:r>
      <w:r w:rsidR="008914A3">
        <w:rPr>
          <w:color w:val="auto"/>
          <w:sz w:val="28"/>
          <w:szCs w:val="28"/>
        </w:rPr>
        <w:t xml:space="preserve">. It is therefore our expectation that </w:t>
      </w:r>
      <w:r w:rsidR="00545976" w:rsidRPr="00FB590C">
        <w:rPr>
          <w:color w:val="auto"/>
          <w:sz w:val="28"/>
          <w:szCs w:val="28"/>
        </w:rPr>
        <w:t xml:space="preserve">the officials in charge will make meaningful progress for that meeting to be held sooner than later. </w:t>
      </w:r>
      <w:r w:rsidR="00545976" w:rsidRPr="00FB590C">
        <w:rPr>
          <w:b/>
          <w:i/>
          <w:color w:val="auto"/>
          <w:sz w:val="28"/>
          <w:szCs w:val="28"/>
        </w:rPr>
        <w:t xml:space="preserve"> </w:t>
      </w:r>
    </w:p>
    <w:p w14:paraId="4465675B" w14:textId="6FE784C7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The A3 takes note </w:t>
      </w:r>
      <w:r w:rsidR="008914A3">
        <w:rPr>
          <w:color w:val="auto"/>
          <w:sz w:val="28"/>
          <w:szCs w:val="28"/>
        </w:rPr>
        <w:t xml:space="preserve">of </w:t>
      </w:r>
      <w:r w:rsidRPr="00FB590C">
        <w:rPr>
          <w:color w:val="auto"/>
          <w:sz w:val="28"/>
          <w:szCs w:val="28"/>
        </w:rPr>
        <w:t>the Syrian Authority’s submission to the Executive Council of its 9</w:t>
      </w:r>
      <w:r w:rsidR="006C1209" w:rsidRPr="00FB590C">
        <w:rPr>
          <w:color w:val="auto"/>
          <w:sz w:val="28"/>
          <w:szCs w:val="28"/>
        </w:rPr>
        <w:t>9</w:t>
      </w:r>
      <w:r w:rsidRPr="00FB590C">
        <w:rPr>
          <w:color w:val="auto"/>
          <w:sz w:val="28"/>
          <w:szCs w:val="28"/>
          <w:vertAlign w:val="superscript"/>
        </w:rPr>
        <w:t>th</w:t>
      </w:r>
      <w:r w:rsidRPr="00FB590C">
        <w:rPr>
          <w:color w:val="auto"/>
          <w:sz w:val="28"/>
          <w:szCs w:val="28"/>
        </w:rPr>
        <w:t xml:space="preserve"> monthly report regarding activities on its territory related </w:t>
      </w:r>
      <w:r w:rsidRPr="00FB590C">
        <w:rPr>
          <w:color w:val="auto"/>
          <w:sz w:val="28"/>
          <w:szCs w:val="28"/>
        </w:rPr>
        <w:lastRenderedPageBreak/>
        <w:t>to the destruction of its chemical weapons a</w:t>
      </w:r>
      <w:r w:rsidR="00104A18" w:rsidRPr="00FB590C">
        <w:rPr>
          <w:color w:val="auto"/>
          <w:sz w:val="28"/>
          <w:szCs w:val="28"/>
        </w:rPr>
        <w:t>s well as its</w:t>
      </w:r>
      <w:r w:rsidRPr="00FB590C">
        <w:rPr>
          <w:color w:val="auto"/>
          <w:sz w:val="28"/>
          <w:szCs w:val="28"/>
        </w:rPr>
        <w:t xml:space="preserve"> chemical weapons production facilities (CWPFs) as required of it by the Executive Council. </w:t>
      </w:r>
      <w:r w:rsidRPr="00FB590C">
        <w:rPr>
          <w:b/>
          <w:i/>
          <w:color w:val="auto"/>
          <w:sz w:val="28"/>
          <w:szCs w:val="28"/>
        </w:rPr>
        <w:t xml:space="preserve"> </w:t>
      </w:r>
    </w:p>
    <w:p w14:paraId="013AEDBF" w14:textId="19C3994E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Regarding the deployment of the Declaration Assessment Team to Syria, the A3 urges the Syrian Authority to comply with its obligations </w:t>
      </w:r>
      <w:r w:rsidR="00104A18" w:rsidRPr="00FB590C">
        <w:rPr>
          <w:color w:val="auto"/>
          <w:sz w:val="28"/>
          <w:szCs w:val="28"/>
        </w:rPr>
        <w:t xml:space="preserve">to </w:t>
      </w:r>
      <w:r w:rsidRPr="00FB590C">
        <w:rPr>
          <w:color w:val="auto"/>
          <w:sz w:val="28"/>
          <w:szCs w:val="28"/>
        </w:rPr>
        <w:t xml:space="preserve">grant unfettered and unhindered access into Syria for all members of the team. </w:t>
      </w:r>
      <w:r w:rsidR="00B6488A" w:rsidRPr="00FB590C">
        <w:rPr>
          <w:color w:val="auto"/>
          <w:sz w:val="28"/>
          <w:szCs w:val="28"/>
        </w:rPr>
        <w:t xml:space="preserve">We </w:t>
      </w:r>
      <w:r w:rsidRPr="00FB590C">
        <w:rPr>
          <w:color w:val="auto"/>
          <w:sz w:val="28"/>
          <w:szCs w:val="28"/>
        </w:rPr>
        <w:t>believe that the DAT and the Syrian Authority</w:t>
      </w:r>
      <w:r w:rsidR="00B6488A" w:rsidRPr="00FB590C">
        <w:rPr>
          <w:color w:val="auto"/>
          <w:sz w:val="28"/>
          <w:szCs w:val="28"/>
        </w:rPr>
        <w:t xml:space="preserve"> </w:t>
      </w:r>
      <w:r w:rsidRPr="00FB590C">
        <w:rPr>
          <w:color w:val="auto"/>
          <w:sz w:val="28"/>
          <w:szCs w:val="28"/>
        </w:rPr>
        <w:t>working collaboratively</w:t>
      </w:r>
      <w:r w:rsidR="00B6488A" w:rsidRPr="00FB590C">
        <w:rPr>
          <w:color w:val="auto"/>
          <w:sz w:val="28"/>
          <w:szCs w:val="28"/>
        </w:rPr>
        <w:t xml:space="preserve"> through enhanced communication and the exchange of information </w:t>
      </w:r>
      <w:r w:rsidRPr="00FB590C">
        <w:rPr>
          <w:color w:val="auto"/>
          <w:sz w:val="28"/>
          <w:szCs w:val="28"/>
        </w:rPr>
        <w:t xml:space="preserve">can explore opportunities to overcome the present limitations to the holding of the twenty-fifth round of consultations </w:t>
      </w:r>
    </w:p>
    <w:p w14:paraId="4CBF6A23" w14:textId="53B62E7D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We also look forward to further information on subsequent rounds of inspections of the </w:t>
      </w:r>
      <w:proofErr w:type="spellStart"/>
      <w:r w:rsidRPr="00FB590C">
        <w:rPr>
          <w:color w:val="auto"/>
          <w:sz w:val="28"/>
          <w:szCs w:val="28"/>
        </w:rPr>
        <w:t>Barzah</w:t>
      </w:r>
      <w:proofErr w:type="spellEnd"/>
      <w:r w:rsidRPr="00FB590C">
        <w:rPr>
          <w:color w:val="auto"/>
          <w:sz w:val="28"/>
          <w:szCs w:val="28"/>
        </w:rPr>
        <w:t xml:space="preserve"> and </w:t>
      </w:r>
      <w:proofErr w:type="spellStart"/>
      <w:r w:rsidRPr="00FB590C">
        <w:rPr>
          <w:color w:val="auto"/>
          <w:sz w:val="28"/>
          <w:szCs w:val="28"/>
        </w:rPr>
        <w:t>Jamrayah</w:t>
      </w:r>
      <w:proofErr w:type="spellEnd"/>
      <w:r w:rsidRPr="00FB590C">
        <w:rPr>
          <w:color w:val="auto"/>
          <w:sz w:val="28"/>
          <w:szCs w:val="28"/>
        </w:rPr>
        <w:t xml:space="preserve"> facilities of the Syrian Scientific Studies and Research Centre </w:t>
      </w:r>
      <w:r w:rsidR="00104A18" w:rsidRPr="00FB590C">
        <w:rPr>
          <w:color w:val="auto"/>
          <w:sz w:val="28"/>
          <w:szCs w:val="28"/>
        </w:rPr>
        <w:t xml:space="preserve">which have been </w:t>
      </w:r>
      <w:r w:rsidRPr="00FB590C">
        <w:rPr>
          <w:color w:val="auto"/>
          <w:sz w:val="28"/>
          <w:szCs w:val="28"/>
        </w:rPr>
        <w:t xml:space="preserve">planned for this year. </w:t>
      </w:r>
      <w:r w:rsidRPr="00FB590C">
        <w:rPr>
          <w:b/>
          <w:color w:val="auto"/>
          <w:sz w:val="28"/>
          <w:szCs w:val="28"/>
        </w:rPr>
        <w:t xml:space="preserve"> </w:t>
      </w:r>
    </w:p>
    <w:p w14:paraId="3B618F9A" w14:textId="10EA1727" w:rsidR="0074735C" w:rsidRPr="00FB590C" w:rsidRDefault="006C1209" w:rsidP="0074735C">
      <w:pPr>
        <w:numPr>
          <w:ilvl w:val="0"/>
          <w:numId w:val="1"/>
        </w:numPr>
        <w:spacing w:before="120" w:after="160" w:line="475" w:lineRule="auto"/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We </w:t>
      </w:r>
      <w:r w:rsidR="0071046A" w:rsidRPr="00FB590C">
        <w:rPr>
          <w:color w:val="auto"/>
          <w:sz w:val="28"/>
          <w:szCs w:val="28"/>
        </w:rPr>
        <w:t xml:space="preserve">take note </w:t>
      </w:r>
      <w:r w:rsidR="00FB590C" w:rsidRPr="00FB590C">
        <w:rPr>
          <w:color w:val="auto"/>
          <w:sz w:val="28"/>
          <w:szCs w:val="28"/>
        </w:rPr>
        <w:t xml:space="preserve">of the </w:t>
      </w:r>
      <w:r w:rsidR="0071046A" w:rsidRPr="00FB590C">
        <w:rPr>
          <w:color w:val="auto"/>
          <w:sz w:val="28"/>
          <w:szCs w:val="28"/>
        </w:rPr>
        <w:t>continuous</w:t>
      </w:r>
      <w:r w:rsidRPr="00FB590C">
        <w:rPr>
          <w:color w:val="auto"/>
          <w:sz w:val="28"/>
          <w:szCs w:val="28"/>
        </w:rPr>
        <w:t xml:space="preserve"> </w:t>
      </w:r>
      <w:r w:rsidR="0071046A" w:rsidRPr="00FB590C">
        <w:rPr>
          <w:color w:val="auto"/>
          <w:sz w:val="28"/>
          <w:szCs w:val="28"/>
        </w:rPr>
        <w:t>support of UNOPS (</w:t>
      </w:r>
      <w:r w:rsidRPr="00FB590C">
        <w:rPr>
          <w:color w:val="auto"/>
          <w:sz w:val="28"/>
          <w:szCs w:val="28"/>
        </w:rPr>
        <w:t>the United Nations Office for Project Services</w:t>
      </w:r>
      <w:r w:rsidR="0071046A" w:rsidRPr="00FB590C">
        <w:rPr>
          <w:color w:val="auto"/>
          <w:sz w:val="28"/>
          <w:szCs w:val="28"/>
        </w:rPr>
        <w:t>) in the framework of the Tripartite Agreement reached with the OPCW and the Syrian Authorities.</w:t>
      </w:r>
    </w:p>
    <w:p w14:paraId="2DC40DDD" w14:textId="57A8D507" w:rsidR="006C1209" w:rsidRPr="00FB590C" w:rsidRDefault="001E08C3" w:rsidP="0074735C">
      <w:pPr>
        <w:numPr>
          <w:ilvl w:val="0"/>
          <w:numId w:val="1"/>
        </w:numPr>
        <w:spacing w:before="120" w:after="160"/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The A3 </w:t>
      </w:r>
      <w:r w:rsidR="00FB590C" w:rsidRPr="00FB590C">
        <w:rPr>
          <w:color w:val="auto"/>
          <w:sz w:val="28"/>
          <w:szCs w:val="28"/>
        </w:rPr>
        <w:t xml:space="preserve">also </w:t>
      </w:r>
      <w:r w:rsidRPr="00FB590C">
        <w:rPr>
          <w:color w:val="auto"/>
          <w:sz w:val="28"/>
          <w:szCs w:val="28"/>
        </w:rPr>
        <w:t>acknowledge</w:t>
      </w:r>
      <w:r w:rsidR="00E127D8">
        <w:rPr>
          <w:color w:val="auto"/>
          <w:sz w:val="28"/>
          <w:szCs w:val="28"/>
        </w:rPr>
        <w:t xml:space="preserve">s the difficulties posed by the </w:t>
      </w:r>
      <w:r w:rsidR="00E127D8" w:rsidRPr="00FB590C">
        <w:rPr>
          <w:color w:val="auto"/>
          <w:sz w:val="28"/>
          <w:szCs w:val="28"/>
        </w:rPr>
        <w:t xml:space="preserve">on-going COVID-19 pandemic </w:t>
      </w:r>
      <w:r w:rsidR="00E127D8">
        <w:rPr>
          <w:color w:val="auto"/>
          <w:sz w:val="28"/>
          <w:szCs w:val="28"/>
        </w:rPr>
        <w:t xml:space="preserve">to the </w:t>
      </w:r>
      <w:r w:rsidR="00795DCC" w:rsidRPr="00FB590C">
        <w:rPr>
          <w:color w:val="auto"/>
          <w:sz w:val="28"/>
          <w:szCs w:val="28"/>
        </w:rPr>
        <w:t xml:space="preserve">work of the OPCW in Syria and </w:t>
      </w:r>
      <w:r w:rsidR="0074735C" w:rsidRPr="00FB590C">
        <w:rPr>
          <w:color w:val="auto"/>
          <w:sz w:val="28"/>
          <w:szCs w:val="28"/>
        </w:rPr>
        <w:t xml:space="preserve">notes the </w:t>
      </w:r>
      <w:r w:rsidR="00795DCC" w:rsidRPr="00FB590C">
        <w:rPr>
          <w:color w:val="auto"/>
          <w:sz w:val="28"/>
          <w:szCs w:val="28"/>
        </w:rPr>
        <w:t>Secretariat’s commitment to ensure continuity</w:t>
      </w:r>
      <w:r w:rsidR="00FB590C" w:rsidRPr="00FB590C">
        <w:rPr>
          <w:color w:val="auto"/>
          <w:sz w:val="28"/>
          <w:szCs w:val="28"/>
        </w:rPr>
        <w:t>,</w:t>
      </w:r>
      <w:r w:rsidR="00795DCC" w:rsidRPr="00FB590C">
        <w:rPr>
          <w:color w:val="auto"/>
          <w:sz w:val="28"/>
          <w:szCs w:val="28"/>
        </w:rPr>
        <w:t xml:space="preserve"> pending improvement in the situation.  </w:t>
      </w:r>
    </w:p>
    <w:p w14:paraId="6657B1EE" w14:textId="77777777" w:rsidR="00132832" w:rsidRPr="00FB590C" w:rsidRDefault="00545976">
      <w:pPr>
        <w:spacing w:after="409" w:line="262" w:lineRule="auto"/>
        <w:ind w:left="-5" w:hanging="10"/>
        <w:jc w:val="left"/>
        <w:rPr>
          <w:color w:val="auto"/>
          <w:sz w:val="28"/>
          <w:szCs w:val="28"/>
        </w:rPr>
      </w:pPr>
      <w:r w:rsidRPr="00FB590C">
        <w:rPr>
          <w:b/>
          <w:color w:val="auto"/>
          <w:sz w:val="28"/>
          <w:szCs w:val="28"/>
        </w:rPr>
        <w:lastRenderedPageBreak/>
        <w:t xml:space="preserve">Madam President,  </w:t>
      </w:r>
    </w:p>
    <w:p w14:paraId="4D51EE5F" w14:textId="590B2EC8" w:rsidR="00132832" w:rsidRPr="00FB590C" w:rsidRDefault="00545976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>The A3 will continue to support accountability measures to hold perpetrators to account, deter</w:t>
      </w:r>
      <w:r w:rsidR="00FB590C" w:rsidRPr="00FB590C">
        <w:rPr>
          <w:color w:val="auto"/>
          <w:sz w:val="28"/>
          <w:szCs w:val="28"/>
        </w:rPr>
        <w:t xml:space="preserve"> </w:t>
      </w:r>
      <w:r w:rsidRPr="00FB590C">
        <w:rPr>
          <w:color w:val="auto"/>
          <w:sz w:val="28"/>
          <w:szCs w:val="28"/>
        </w:rPr>
        <w:t xml:space="preserve">further use </w:t>
      </w:r>
      <w:r w:rsidR="00FB590C" w:rsidRPr="00FB590C">
        <w:rPr>
          <w:color w:val="auto"/>
          <w:sz w:val="28"/>
          <w:szCs w:val="28"/>
        </w:rPr>
        <w:t xml:space="preserve">by state and non-state actors </w:t>
      </w:r>
      <w:r w:rsidRPr="00FB590C">
        <w:rPr>
          <w:color w:val="auto"/>
          <w:sz w:val="28"/>
          <w:szCs w:val="28"/>
        </w:rPr>
        <w:t>and reinforce the international norms against the use of chemical weapons</w:t>
      </w:r>
      <w:r w:rsidR="00FB590C" w:rsidRPr="00FB590C">
        <w:rPr>
          <w:color w:val="auto"/>
          <w:sz w:val="28"/>
          <w:szCs w:val="28"/>
        </w:rPr>
        <w:t xml:space="preserve"> and</w:t>
      </w:r>
      <w:r w:rsidR="008914A3">
        <w:rPr>
          <w:color w:val="auto"/>
          <w:sz w:val="28"/>
          <w:szCs w:val="28"/>
        </w:rPr>
        <w:t xml:space="preserve"> such</w:t>
      </w:r>
      <w:r w:rsidR="00FB590C" w:rsidRPr="00FB590C">
        <w:rPr>
          <w:color w:val="auto"/>
          <w:sz w:val="28"/>
          <w:szCs w:val="28"/>
        </w:rPr>
        <w:t xml:space="preserve"> weapons of mass destruction</w:t>
      </w:r>
      <w:r w:rsidRPr="00FB590C">
        <w:rPr>
          <w:color w:val="auto"/>
          <w:sz w:val="28"/>
          <w:szCs w:val="28"/>
        </w:rPr>
        <w:t xml:space="preserve">. </w:t>
      </w:r>
      <w:r w:rsidRPr="00FB590C">
        <w:rPr>
          <w:b/>
          <w:i/>
          <w:color w:val="auto"/>
          <w:sz w:val="28"/>
          <w:szCs w:val="28"/>
        </w:rPr>
        <w:t xml:space="preserve"> </w:t>
      </w:r>
    </w:p>
    <w:p w14:paraId="5B329677" w14:textId="3F580E4B" w:rsidR="00132832" w:rsidRPr="00FB590C" w:rsidRDefault="00545976">
      <w:pPr>
        <w:numPr>
          <w:ilvl w:val="0"/>
          <w:numId w:val="1"/>
        </w:numPr>
        <w:spacing w:after="207"/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>We acknowledge in this regard, the important work of the Fact-Finding Mission in Syria (FFM) and the Investigation and Identification Team (IIT) and stress the need for them to remain independent, transparent and impartial in carrying out their mandates.</w:t>
      </w:r>
      <w:r w:rsidRPr="00FB590C">
        <w:rPr>
          <w:b/>
          <w:i/>
          <w:color w:val="auto"/>
          <w:sz w:val="28"/>
          <w:szCs w:val="28"/>
        </w:rPr>
        <w:t xml:space="preserve"> </w:t>
      </w:r>
    </w:p>
    <w:p w14:paraId="3EC338E9" w14:textId="00D02660" w:rsidR="00132832" w:rsidRPr="004E433B" w:rsidRDefault="00545976" w:rsidP="004E433B">
      <w:pPr>
        <w:numPr>
          <w:ilvl w:val="0"/>
          <w:numId w:val="1"/>
        </w:numPr>
        <w:rPr>
          <w:color w:val="auto"/>
          <w:sz w:val="28"/>
          <w:szCs w:val="28"/>
        </w:rPr>
      </w:pPr>
      <w:r w:rsidRPr="00FB590C">
        <w:rPr>
          <w:color w:val="auto"/>
          <w:sz w:val="28"/>
          <w:szCs w:val="28"/>
        </w:rPr>
        <w:t xml:space="preserve">In concluding, Madam President, allow me to reiterate Africa’s </w:t>
      </w:r>
      <w:r w:rsidR="001E08C3" w:rsidRPr="00FB590C">
        <w:rPr>
          <w:color w:val="auto"/>
          <w:sz w:val="28"/>
          <w:szCs w:val="28"/>
        </w:rPr>
        <w:t>principled position</w:t>
      </w:r>
      <w:r w:rsidRPr="00FB590C">
        <w:rPr>
          <w:color w:val="auto"/>
          <w:sz w:val="28"/>
          <w:szCs w:val="28"/>
        </w:rPr>
        <w:t xml:space="preserve"> against the use of Chemical weapons</w:t>
      </w:r>
      <w:r w:rsidR="00724192" w:rsidRPr="00FB590C">
        <w:rPr>
          <w:color w:val="auto"/>
          <w:sz w:val="28"/>
          <w:szCs w:val="28"/>
        </w:rPr>
        <w:t xml:space="preserve"> anywhere, by anyone and under any circumstances, as no cause could justify it</w:t>
      </w:r>
      <w:r w:rsidR="0045446B" w:rsidRPr="00FB590C">
        <w:rPr>
          <w:color w:val="auto"/>
          <w:sz w:val="28"/>
          <w:szCs w:val="28"/>
        </w:rPr>
        <w:t>s use</w:t>
      </w:r>
      <w:r w:rsidR="003C5989">
        <w:rPr>
          <w:color w:val="auto"/>
          <w:sz w:val="28"/>
          <w:szCs w:val="28"/>
        </w:rPr>
        <w:t xml:space="preserve"> and, in that regard, let </w:t>
      </w:r>
      <w:r w:rsidR="006B682B">
        <w:rPr>
          <w:color w:val="auto"/>
          <w:sz w:val="28"/>
          <w:szCs w:val="28"/>
        </w:rPr>
        <w:t>me express</w:t>
      </w:r>
      <w:r w:rsidR="003C5989" w:rsidRPr="00FB590C">
        <w:rPr>
          <w:color w:val="auto"/>
          <w:sz w:val="28"/>
          <w:szCs w:val="28"/>
        </w:rPr>
        <w:t xml:space="preserve"> our support </w:t>
      </w:r>
      <w:r w:rsidR="003C5989">
        <w:rPr>
          <w:color w:val="auto"/>
          <w:sz w:val="28"/>
          <w:szCs w:val="28"/>
        </w:rPr>
        <w:t xml:space="preserve">for efforts towards </w:t>
      </w:r>
      <w:r w:rsidR="003C5989" w:rsidRPr="00FB590C">
        <w:rPr>
          <w:color w:val="auto"/>
          <w:sz w:val="28"/>
          <w:szCs w:val="28"/>
        </w:rPr>
        <w:t>the early closure of the elimination of Syria’s chemical weapons programme</w:t>
      </w:r>
      <w:r w:rsidR="003C5989">
        <w:rPr>
          <w:color w:val="auto"/>
          <w:sz w:val="28"/>
          <w:szCs w:val="28"/>
        </w:rPr>
        <w:t>.</w:t>
      </w:r>
    </w:p>
    <w:p w14:paraId="626B08C7" w14:textId="77777777" w:rsidR="00132832" w:rsidRPr="00FB590C" w:rsidRDefault="00545976">
      <w:pPr>
        <w:spacing w:after="409" w:line="262" w:lineRule="auto"/>
        <w:ind w:left="371" w:hanging="10"/>
        <w:jc w:val="left"/>
        <w:rPr>
          <w:color w:val="auto"/>
          <w:sz w:val="28"/>
          <w:szCs w:val="28"/>
        </w:rPr>
      </w:pPr>
      <w:r w:rsidRPr="00FB590C">
        <w:rPr>
          <w:b/>
          <w:color w:val="auto"/>
          <w:sz w:val="28"/>
          <w:szCs w:val="28"/>
        </w:rPr>
        <w:t xml:space="preserve">I thank you for your kind attention. </w:t>
      </w:r>
      <w:r w:rsidRPr="00FB590C">
        <w:rPr>
          <w:color w:val="auto"/>
          <w:sz w:val="28"/>
          <w:szCs w:val="28"/>
        </w:rPr>
        <w:t xml:space="preserve"> </w:t>
      </w:r>
    </w:p>
    <w:sectPr w:rsidR="00132832" w:rsidRPr="00FB590C" w:rsidSect="006B68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52" w:right="1436" w:bottom="1724" w:left="1441" w:header="732" w:footer="7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A70D" w14:textId="77777777" w:rsidR="00663E0E" w:rsidRDefault="00663E0E">
      <w:pPr>
        <w:spacing w:after="0" w:line="240" w:lineRule="auto"/>
      </w:pPr>
      <w:r>
        <w:separator/>
      </w:r>
    </w:p>
  </w:endnote>
  <w:endnote w:type="continuationSeparator" w:id="0">
    <w:p w14:paraId="7D9B8628" w14:textId="77777777" w:rsidR="00663E0E" w:rsidRDefault="0066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F097" w14:textId="77777777" w:rsidR="00132832" w:rsidRDefault="00545976">
    <w:pPr>
      <w:spacing w:after="0" w:line="259" w:lineRule="auto"/>
      <w:ind w:left="0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0DA98DDA" w14:textId="77777777" w:rsidR="00132832" w:rsidRDefault="0054597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BCBA" w14:textId="77777777" w:rsidR="00132832" w:rsidRDefault="00545976">
    <w:pPr>
      <w:spacing w:after="0" w:line="259" w:lineRule="auto"/>
      <w:ind w:left="0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3ACA0303" w14:textId="77777777" w:rsidR="00132832" w:rsidRDefault="0054597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94A7" w14:textId="42A2BA33" w:rsidR="00132832" w:rsidRDefault="00132832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6F0B" w14:textId="77777777" w:rsidR="00663E0E" w:rsidRDefault="00663E0E">
      <w:pPr>
        <w:spacing w:after="0" w:line="240" w:lineRule="auto"/>
      </w:pPr>
      <w:r>
        <w:separator/>
      </w:r>
    </w:p>
  </w:footnote>
  <w:footnote w:type="continuationSeparator" w:id="0">
    <w:p w14:paraId="31D271ED" w14:textId="77777777" w:rsidR="00663E0E" w:rsidRDefault="0066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AC23" w14:textId="77777777" w:rsidR="00132832" w:rsidRDefault="00545976">
    <w:pPr>
      <w:spacing w:after="0" w:line="259" w:lineRule="auto"/>
      <w:ind w:left="0" w:firstLine="0"/>
      <w:jc w:val="left"/>
    </w:pPr>
    <w:r>
      <w:t xml:space="preserve">Draft  </w:t>
    </w:r>
  </w:p>
  <w:p w14:paraId="1CC486D8" w14:textId="77777777" w:rsidR="00132832" w:rsidRDefault="0054597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5460" w14:textId="5B63B9D6" w:rsidR="00132832" w:rsidRDefault="00132832">
    <w:pPr>
      <w:spacing w:after="0" w:line="259" w:lineRule="auto"/>
      <w:ind w:left="0" w:firstLine="0"/>
      <w:jc w:val="left"/>
    </w:pPr>
  </w:p>
  <w:p w14:paraId="378FBD45" w14:textId="77777777" w:rsidR="00132832" w:rsidRDefault="0054597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14D0" w14:textId="77777777" w:rsidR="00132832" w:rsidRDefault="00545976">
    <w:pPr>
      <w:spacing w:after="0" w:line="259" w:lineRule="auto"/>
      <w:ind w:left="0" w:firstLine="0"/>
      <w:jc w:val="left"/>
    </w:pPr>
    <w:r>
      <w:t xml:space="preserve">Draft  </w:t>
    </w:r>
  </w:p>
  <w:p w14:paraId="485A583D" w14:textId="77777777" w:rsidR="00132832" w:rsidRDefault="0054597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155"/>
    <w:multiLevelType w:val="hybridMultilevel"/>
    <w:tmpl w:val="610C6E1A"/>
    <w:lvl w:ilvl="0" w:tplc="FE2EAECC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85CD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CAA0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CE8C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AAB6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92F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07A8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07B6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608B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32"/>
    <w:rsid w:val="00033FA5"/>
    <w:rsid w:val="0006478A"/>
    <w:rsid w:val="00104A18"/>
    <w:rsid w:val="00132832"/>
    <w:rsid w:val="001E08C3"/>
    <w:rsid w:val="00251E2D"/>
    <w:rsid w:val="003C5989"/>
    <w:rsid w:val="0045446B"/>
    <w:rsid w:val="004E433B"/>
    <w:rsid w:val="00545976"/>
    <w:rsid w:val="005D6D63"/>
    <w:rsid w:val="00663E0E"/>
    <w:rsid w:val="006B5386"/>
    <w:rsid w:val="006B682B"/>
    <w:rsid w:val="006C1209"/>
    <w:rsid w:val="0071046A"/>
    <w:rsid w:val="00724192"/>
    <w:rsid w:val="0074735C"/>
    <w:rsid w:val="00795DCC"/>
    <w:rsid w:val="008914A3"/>
    <w:rsid w:val="00A8039E"/>
    <w:rsid w:val="00A80B87"/>
    <w:rsid w:val="00B6488A"/>
    <w:rsid w:val="00BE4CB5"/>
    <w:rsid w:val="00DE6322"/>
    <w:rsid w:val="00E127D8"/>
    <w:rsid w:val="00E97387"/>
    <w:rsid w:val="00F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7AC8"/>
  <w15:docId w15:val="{1901FC29-9D4D-0A4F-BCD8-0CF71D9E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482" w:lineRule="auto"/>
      <w:ind w:left="731" w:hanging="37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anamissionu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Khalilah Hackman</cp:lastModifiedBy>
  <cp:revision>2</cp:revision>
  <cp:lastPrinted>2022-03-10T13:56:00Z</cp:lastPrinted>
  <dcterms:created xsi:type="dcterms:W3CDTF">2022-03-10T13:56:00Z</dcterms:created>
  <dcterms:modified xsi:type="dcterms:W3CDTF">2022-03-10T13:56:00Z</dcterms:modified>
</cp:coreProperties>
</file>